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872124" w:rsidP="00040BD7">
            <w:r>
              <w:t>12</w:t>
            </w:r>
            <w:r w:rsidR="00AD06AC">
              <w:t>.</w:t>
            </w:r>
            <w:r w:rsidR="00040BD7">
              <w:t>10</w:t>
            </w:r>
            <w:r w:rsidR="00AD06AC">
              <w:t>.18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040BD7" w:rsidP="00872124">
            <w:r>
              <w:t>1</w:t>
            </w:r>
            <w:r w:rsidR="00872124">
              <w:t>7</w:t>
            </w:r>
            <w:r>
              <w:t>.10.18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872124" w:rsidP="00872124">
            <w:r>
              <w:t xml:space="preserve">On </w:t>
            </w:r>
            <w:proofErr w:type="spellStart"/>
            <w:r>
              <w:t>Matheletics</w:t>
            </w:r>
            <w:proofErr w:type="spellEnd"/>
            <w:r>
              <w:t xml:space="preserve"> focus on </w:t>
            </w:r>
            <w:r w:rsidR="00DB2C1D">
              <w:t xml:space="preserve">the multiples of </w:t>
            </w:r>
            <w:r>
              <w:t xml:space="preserve">2,3,5 and </w:t>
            </w:r>
            <w:r w:rsidR="00DB2C1D">
              <w:t xml:space="preserve">10 and </w:t>
            </w:r>
            <w:r>
              <w:t xml:space="preserve">learning how to sequence numbers. Additionally, focus on </w:t>
            </w:r>
            <w:r w:rsidR="00DB2C1D">
              <w:t xml:space="preserve">calculating </w:t>
            </w:r>
            <w:r w:rsidR="00040BD7">
              <w:t xml:space="preserve">capacity using litres.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07575" w:rsidRPr="00040BD7" w:rsidRDefault="00D66392" w:rsidP="00F66427">
            <w:pPr>
              <w:rPr>
                <w:rFonts w:cstheme="minorHAnsi"/>
              </w:rPr>
            </w:pPr>
            <w:r w:rsidRPr="00040BD7">
              <w:rPr>
                <w:rFonts w:cstheme="minorHAnsi"/>
              </w:rPr>
              <w:t>This week children</w:t>
            </w:r>
            <w:r w:rsidR="00183C79" w:rsidRPr="00040BD7">
              <w:rPr>
                <w:rFonts w:cstheme="minorHAnsi"/>
              </w:rPr>
              <w:t xml:space="preserve"> wil</w:t>
            </w:r>
            <w:r w:rsidR="00BB10EE" w:rsidRPr="00040BD7">
              <w:rPr>
                <w:rFonts w:cstheme="minorHAnsi"/>
              </w:rPr>
              <w:t xml:space="preserve">l be focusing on </w:t>
            </w:r>
            <w:r w:rsidR="00DB2C1D" w:rsidRPr="00040BD7">
              <w:rPr>
                <w:rFonts w:cstheme="minorHAnsi"/>
              </w:rPr>
              <w:t>these spellings:</w:t>
            </w:r>
          </w:p>
          <w:p w:rsidR="00DB2C1D" w:rsidRPr="00040BD7" w:rsidRDefault="00872124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knock</w:t>
            </w:r>
          </w:p>
          <w:p w:rsidR="00040BD7" w:rsidRPr="00040BD7" w:rsidRDefault="00872124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know</w:t>
            </w:r>
          </w:p>
          <w:p w:rsidR="00040BD7" w:rsidRPr="00040BD7" w:rsidRDefault="00872124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knee</w:t>
            </w:r>
          </w:p>
          <w:p w:rsidR="00040BD7" w:rsidRPr="00040BD7" w:rsidRDefault="00872124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gnat</w:t>
            </w:r>
            <w:bookmarkStart w:id="0" w:name="_GoBack"/>
            <w:bookmarkEnd w:id="0"/>
          </w:p>
          <w:p w:rsidR="00040BD7" w:rsidRPr="00040BD7" w:rsidRDefault="00872124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gnaw</w:t>
            </w:r>
          </w:p>
          <w:p w:rsidR="00DB2C1D" w:rsidRPr="00040BD7" w:rsidRDefault="00DB2C1D" w:rsidP="00DB2C1D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222DD5" w:rsidRPr="00222DD5" w:rsidRDefault="00222DD5" w:rsidP="00222DD5">
            <w:pPr>
              <w:rPr>
                <w:rFonts w:eastAsia="Calibri" w:cstheme="minorHAnsi"/>
              </w:rPr>
            </w:pPr>
            <w:r w:rsidRPr="00222DD5">
              <w:rPr>
                <w:rFonts w:eastAsia="Calibri" w:cstheme="minorHAnsi"/>
              </w:rPr>
              <w:t>Your home learning challenge this week is to make an information booklet about the Great Fire of London. You need to include:</w:t>
            </w:r>
          </w:p>
          <w:p w:rsidR="00222DD5" w:rsidRPr="00222DD5" w:rsidRDefault="00222DD5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 w:rsidRPr="00222DD5">
              <w:rPr>
                <w:rFonts w:eastAsia="Calibri" w:cstheme="minorHAnsi"/>
              </w:rPr>
              <w:t xml:space="preserve">Factual information </w:t>
            </w:r>
          </w:p>
          <w:p w:rsidR="00222DD5" w:rsidRPr="00222DD5" w:rsidRDefault="00222DD5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 w:rsidRPr="00222DD5">
              <w:rPr>
                <w:rFonts w:eastAsia="Calibri" w:cstheme="minorHAnsi"/>
              </w:rPr>
              <w:t>Headings and sub-headings such as: How do we know about the Great Fire of London? How did the Great Fire start? What happened after the Great Fire? How is the Great Fire remembered?</w:t>
            </w:r>
          </w:p>
          <w:p w:rsidR="00222DD5" w:rsidRPr="00222DD5" w:rsidRDefault="00222DD5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 w:rsidRPr="00222DD5">
              <w:rPr>
                <w:rFonts w:eastAsia="Calibri" w:cstheme="minorHAnsi"/>
              </w:rPr>
              <w:t>Drawings and captions</w:t>
            </w:r>
          </w:p>
          <w:p w:rsidR="00222DD5" w:rsidRPr="00222DD5" w:rsidRDefault="00222DD5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 w:rsidRPr="00222DD5">
              <w:rPr>
                <w:rFonts w:eastAsia="Calibri" w:cstheme="minorHAnsi"/>
              </w:rPr>
              <w:t xml:space="preserve">Information on Thomas </w:t>
            </w:r>
            <w:proofErr w:type="spellStart"/>
            <w:r w:rsidRPr="00222DD5">
              <w:rPr>
                <w:rFonts w:eastAsia="Calibri" w:cstheme="minorHAnsi"/>
              </w:rPr>
              <w:t>Faynor</w:t>
            </w:r>
            <w:proofErr w:type="spellEnd"/>
            <w:r w:rsidRPr="00222DD5">
              <w:rPr>
                <w:rFonts w:eastAsia="Calibri" w:cstheme="minorHAnsi"/>
              </w:rPr>
              <w:t>, Samuel Peeps and Christopher Wren.</w:t>
            </w:r>
          </w:p>
          <w:p w:rsidR="00222DD5" w:rsidRPr="00222DD5" w:rsidRDefault="00222DD5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 w:rsidRPr="00222DD5">
              <w:rPr>
                <w:rFonts w:eastAsia="Calibri" w:cstheme="minorHAnsi"/>
              </w:rPr>
              <w:t>Fun Facts</w:t>
            </w:r>
          </w:p>
          <w:p w:rsidR="002433B3" w:rsidRPr="00040BD7" w:rsidRDefault="002433B3" w:rsidP="00222DD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22DD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027"/>
    <w:multiLevelType w:val="hybridMultilevel"/>
    <w:tmpl w:val="F42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22DD5"/>
    <w:rsid w:val="00231375"/>
    <w:rsid w:val="002417D7"/>
    <w:rsid w:val="002433B3"/>
    <w:rsid w:val="0024644B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6B356F"/>
    <w:rsid w:val="006C4374"/>
    <w:rsid w:val="006E02E1"/>
    <w:rsid w:val="00773778"/>
    <w:rsid w:val="007B00E4"/>
    <w:rsid w:val="00855EC7"/>
    <w:rsid w:val="00872124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AA36422C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</cp:revision>
  <cp:lastPrinted>2015-10-19T13:58:00Z</cp:lastPrinted>
  <dcterms:created xsi:type="dcterms:W3CDTF">2018-10-08T14:58:00Z</dcterms:created>
  <dcterms:modified xsi:type="dcterms:W3CDTF">2018-10-08T14:58:00Z</dcterms:modified>
</cp:coreProperties>
</file>